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 xml:space="preserve">附件2        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教师岗位聘用基本条件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师岗位聘期内基本要求为:热爱并拥护中国共产党，遵守宪法、法律和学校规章制度;为人师表，恪守教师职业道德，教书育人；担任硕士生、博士生导师者应遵守国家《研究生导师指导行为准则》;学风端正，无学术不端行为;服从所在学院（部）安排，积极参加学校、学院（部）组织的各项活动，承担并完成学校、学院（部）安排的教学、科研等工作任务;原则上具有高等学校教师资格，具备与履行岗位职责相适应的专业水平和能力;积极参加社会服务，为社会经济发展作出重要贡献;认真履行聘约，完成岗位下达的聘期业绩目标任务，任期内年度考核结果为合格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一、专业技术二级岗位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根据上级文件精神，专业技术二级岗位由学校组织聘用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依据《关于优化全省事业单位专业技术二级岗位人选评聘工作的通知》（鲁人社发〔2020〕14号）有关规定，聘任专业技术二级岗位须具备以下条件：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1.符合下列条件之一的人员（近5年内获得）可以申请后直接认定、聘任到专业技术二级岗：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（1）国家、省科技最高奖获得者；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国家技术发明奖一等奖、科技进步一等奖（均为个人排名前三位）获得者，国家技术发明奖二等奖、科技进步二等奖（均为个人排名前二位）获得者，国家自然科学奖二等奖及以上奖项获得者（个人排名前三位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（3）国家科技重大专项首席、国家重点研发计划首席、国家自然科学基金重大研究计划项目首席、国家自然科学基金重大项目首席、国家自然科学基金创新研究群体项目负责人（首位）及同级别；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（4）国家“千人计划”中的创新人才长期项目、创业人才项目、外专千人计划项目入选者；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（5）教育部“长江学者”特聘教授；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（6）国家“万人计划”杰出人才、领军人才；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（7）国家杰出青年科学基金获得者；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（8）教育部人文社会科学优秀成果特等奖、一等奖（个人排名第一位）获得者，国家教学成果特等奖、一等奖（个人排名第一位）获得者；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（9）入选山东省“一事一议”引进顶尖人才人选；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（10）齐鲁杰出人才奖及提名奖获得者；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（11）泰山学者攀登计划专家；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（12）泰山学者优势特色学科人才团队支持计划领军人才。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以上人员人才项目等超过管理期的可申报竞聘专业技术二级岗位。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2.现聘正高级专业技术岗位满一个聘期且具备下列条件之一的人员，可申报竞聘专业技术二级岗位：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才工程类：（1）“国家百千万人才工程”人选；（2）国家“万人计划”青年拔尖人才、青年长江学者、优秀青年科学基金项目入选者；（3）中科院“百人计划”入选者；（4）享受国务院颁发政府特殊津贴人员；（5）国家有突出贡献的中青年专家；（6）国家教学名师奖获得者；（7）全国文化名家暨“四个一批”人才；（8）泰山学者特聘专家；（9）山东省有突出贡献的中青年专家；（10）齐鲁文化名家工程入选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果奖励类：（1）国家教学成果一等奖以上（前二位）或二等奖（个人排名第一位）首位获得者；（2）国家哲学社会科学成果文库入选者（首位）；（3）中国高校自然科学奖、中国高校人文社会科学研究优秀成果一等奖（首位）获得者；（4）长江韬奋奖获得者、中国美术奖金奖、茅盾文学奖、鲁迅文学奖等文化艺术领域国家级评奖个人奖最高奖获得者；（5）省自然科学奖、省技术发明奖、省科学技术进步奖一等奖获得者（首位）获得者；（6）山东省社会科学优秀成果特等奖、一等奖（首位）获得者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科技项目类：（1）国家重点研发计划，国家科技支撑计划、“863计划”“973计划”主要负责人（排名前三位）；（2）国家科技重大专项主要负责人（排名前三位）；（3）国家自然科学基金重点项目负责人（排名第一位）。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国内外同行业公认、业绩显著、贡献突出，与条款2推荐人选具有同层次能力水平的高层次专业技术人才，以及经行业或主管部门评议，为全省经济和社会发展作出重大贡献的优秀人才。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二、专业技术三级岗位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专业技术三级岗位聘期考核合格者可续聘原岗位。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已聘正高级专业技术岗位，2018—2021年期间，任现岗位以来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承担学校规定的本科教学最低课时量且</w:t>
      </w:r>
      <w:r>
        <w:rPr>
          <w:rFonts w:hint="eastAsia" w:ascii="仿宋" w:hAnsi="仿宋" w:eastAsia="仿宋" w:cs="仿宋"/>
          <w:sz w:val="32"/>
          <w:szCs w:val="32"/>
        </w:rPr>
        <w:t>具备下列条件之一者，可申请竞聘专业技术三级岗位：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1.获批主持C类及以上科研项目1项和E1类及以上科研项目1项；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2.获国家级科研奖励一等奖（额内）或二等奖（前五位）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省部级科研奖励一等奖（前二位）或二等奖（首位，学校为第一单位）；山东省社科优秀成果奖二等奖（首位，学校为第一单位）；泰山文艺奖（首位）；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3.A级课程负责人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山东省专业学位研究生教育指导委员会立项建设或认定的课程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负责人；</w:t>
      </w:r>
      <w:r>
        <w:rPr>
          <w:rFonts w:hint="eastAsia" w:ascii="仿宋" w:hAnsi="仿宋" w:eastAsia="仿宋" w:cs="仿宋"/>
          <w:sz w:val="32"/>
          <w:szCs w:val="32"/>
        </w:rPr>
        <w:t>山东省研究生教育优质课程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</w:t>
      </w:r>
      <w:r>
        <w:rPr>
          <w:rFonts w:hint="eastAsia" w:ascii="仿宋" w:hAnsi="仿宋" w:eastAsia="仿宋" w:cs="仿宋"/>
          <w:sz w:val="32"/>
          <w:szCs w:val="32"/>
        </w:rPr>
        <w:t>、山东省专业学位研究生教学案例库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负责人；省级及以上教学名师（含宝钢优秀教师）；国家一流专业负责人；国家级教学成果一等奖（额内人员）或二等奖（前五位）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省教学成果特等奖（前三位）或一等奖（前二位）或二等奖（首位）；B级及以上教研项目（首位）；主编B级及以上教材；获省级教学竞赛一等奖及以上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4.学科竞赛A类国家银奖及以上指导老师（首位）或B类国家金奖（一等奖）指导老师（首位）；山东省研究生优秀成果奖一等奖指导教师（首位）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5.第一作者在《Nature》《Science》《Cell》上发表论文1篇，或在SCI发表论文10篇以上（其中A类论文不少于5篇）。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三、专业技术四级及以下岗位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竞聘专业技术四级及以下岗位者，应具有相应的专业技术岗位资格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2018—2021年期间，任现岗位以来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承担学校规定的本科教学最低课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时量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其余聘用条件由各院部制定，报学校审批。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四、其他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成果特别突出的</w:t>
      </w:r>
      <w:bookmarkStart w:id="0" w:name="_Hlk101015824"/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2018—2021年期间，任现岗位以来,</w:t>
      </w:r>
      <w:bookmarkEnd w:id="0"/>
      <w:r>
        <w:rPr>
          <w:rFonts w:hint="eastAsia" w:ascii="仿宋" w:hAnsi="仿宋" w:eastAsia="仿宋" w:cs="仿宋"/>
          <w:sz w:val="32"/>
          <w:szCs w:val="32"/>
        </w:rPr>
        <w:t>满足越级竞聘岗位聘任条件中至少2条的，可越级竞聘。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NzRmZTYyYTNjYzc0ZWNiM2Y3Yzc4ZDI4MjI4NDMifQ=="/>
  </w:docVars>
  <w:rsids>
    <w:rsidRoot w:val="001841BF"/>
    <w:rsid w:val="001841BF"/>
    <w:rsid w:val="00493936"/>
    <w:rsid w:val="00510898"/>
    <w:rsid w:val="005E36BC"/>
    <w:rsid w:val="008176D8"/>
    <w:rsid w:val="00966CB2"/>
    <w:rsid w:val="00D76046"/>
    <w:rsid w:val="00EC6511"/>
    <w:rsid w:val="01AB20BD"/>
    <w:rsid w:val="02226E22"/>
    <w:rsid w:val="024B4A27"/>
    <w:rsid w:val="0311332A"/>
    <w:rsid w:val="03575C81"/>
    <w:rsid w:val="06616EC2"/>
    <w:rsid w:val="07BC4627"/>
    <w:rsid w:val="08260BFE"/>
    <w:rsid w:val="0A3C75B1"/>
    <w:rsid w:val="0B497B2A"/>
    <w:rsid w:val="0B615D61"/>
    <w:rsid w:val="0D6D5254"/>
    <w:rsid w:val="0FB36708"/>
    <w:rsid w:val="11626AE0"/>
    <w:rsid w:val="11FC1ECD"/>
    <w:rsid w:val="183B2D74"/>
    <w:rsid w:val="1A397C2F"/>
    <w:rsid w:val="1CE25BA7"/>
    <w:rsid w:val="1DC87107"/>
    <w:rsid w:val="1EE95587"/>
    <w:rsid w:val="1FAD5978"/>
    <w:rsid w:val="1FFD324B"/>
    <w:rsid w:val="23414C97"/>
    <w:rsid w:val="245E07C6"/>
    <w:rsid w:val="24816BB1"/>
    <w:rsid w:val="25AC5561"/>
    <w:rsid w:val="262E2C03"/>
    <w:rsid w:val="26DE6345"/>
    <w:rsid w:val="2786250D"/>
    <w:rsid w:val="27CE0B53"/>
    <w:rsid w:val="29AD6068"/>
    <w:rsid w:val="29E64ED1"/>
    <w:rsid w:val="2A324725"/>
    <w:rsid w:val="2ACA04CA"/>
    <w:rsid w:val="2B8A6344"/>
    <w:rsid w:val="2DDC0456"/>
    <w:rsid w:val="2E2D1AA0"/>
    <w:rsid w:val="30972C16"/>
    <w:rsid w:val="30D51ACF"/>
    <w:rsid w:val="325029F0"/>
    <w:rsid w:val="32A95302"/>
    <w:rsid w:val="35E63E5A"/>
    <w:rsid w:val="38162FCA"/>
    <w:rsid w:val="38CC6D1E"/>
    <w:rsid w:val="38E45382"/>
    <w:rsid w:val="396520CF"/>
    <w:rsid w:val="3A380AB0"/>
    <w:rsid w:val="3A940645"/>
    <w:rsid w:val="3B647035"/>
    <w:rsid w:val="3C8D5FA5"/>
    <w:rsid w:val="40161AFD"/>
    <w:rsid w:val="436664A9"/>
    <w:rsid w:val="44225DA7"/>
    <w:rsid w:val="443118AE"/>
    <w:rsid w:val="44A027BD"/>
    <w:rsid w:val="44E13161"/>
    <w:rsid w:val="484418FD"/>
    <w:rsid w:val="4B924AAB"/>
    <w:rsid w:val="4D25456D"/>
    <w:rsid w:val="4D887101"/>
    <w:rsid w:val="4E973597"/>
    <w:rsid w:val="4F6C1846"/>
    <w:rsid w:val="50C82FC8"/>
    <w:rsid w:val="51670290"/>
    <w:rsid w:val="55023D73"/>
    <w:rsid w:val="56822A67"/>
    <w:rsid w:val="57C62B54"/>
    <w:rsid w:val="5AB05D29"/>
    <w:rsid w:val="5AEE1D4F"/>
    <w:rsid w:val="5B1E2158"/>
    <w:rsid w:val="5B865931"/>
    <w:rsid w:val="5C0F141D"/>
    <w:rsid w:val="5C8A0318"/>
    <w:rsid w:val="5E5778F9"/>
    <w:rsid w:val="5EB15B00"/>
    <w:rsid w:val="616D0E32"/>
    <w:rsid w:val="61C40671"/>
    <w:rsid w:val="61FA72DA"/>
    <w:rsid w:val="622C474D"/>
    <w:rsid w:val="629A541E"/>
    <w:rsid w:val="62B92A90"/>
    <w:rsid w:val="630942A9"/>
    <w:rsid w:val="6403183D"/>
    <w:rsid w:val="640A1E5D"/>
    <w:rsid w:val="64D709D4"/>
    <w:rsid w:val="689957E8"/>
    <w:rsid w:val="689E42BA"/>
    <w:rsid w:val="68A815DC"/>
    <w:rsid w:val="68A94C33"/>
    <w:rsid w:val="69290F77"/>
    <w:rsid w:val="6B44577F"/>
    <w:rsid w:val="6BB37255"/>
    <w:rsid w:val="6BE87B64"/>
    <w:rsid w:val="710311DE"/>
    <w:rsid w:val="75F85EBA"/>
    <w:rsid w:val="783C6F4D"/>
    <w:rsid w:val="785C2771"/>
    <w:rsid w:val="7AD924E7"/>
    <w:rsid w:val="7E4D27FA"/>
    <w:rsid w:val="7FF75AFE"/>
    <w:rsid w:val="7F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2210</Words>
  <Characters>2266</Characters>
  <Lines>16</Lines>
  <Paragraphs>4</Paragraphs>
  <TotalTime>2</TotalTime>
  <ScaleCrop>false</ScaleCrop>
  <LinksUpToDate>false</LinksUpToDate>
  <CharactersWithSpaces>2307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邵景玲</cp:lastModifiedBy>
  <cp:lastPrinted>2022-04-22T00:48:00Z</cp:lastPrinted>
  <dcterms:modified xsi:type="dcterms:W3CDTF">2022-05-23T01:48:41Z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8D088960950E475BB29868AA3FB874DC</vt:lpwstr>
  </property>
  <property fmtid="{D5CDD505-2E9C-101B-9397-08002B2CF9AE}" pid="4" name="commondata">
    <vt:lpwstr>eyJoZGlkIjoiNmFhNzRmZTYyYTNjYzc0ZWNiM2Y3Yzc4ZDI4MjI4NDMifQ==</vt:lpwstr>
  </property>
</Properties>
</file>